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22644" w14:textId="037EC1C8" w:rsidR="00BA2EF6" w:rsidRPr="00767D17" w:rsidRDefault="00BA2EF6">
      <w:pPr>
        <w:rPr>
          <w:b/>
          <w:bCs/>
        </w:rPr>
      </w:pPr>
      <w:r w:rsidRPr="00FB671E">
        <w:rPr>
          <w:b/>
          <w:bCs/>
        </w:rPr>
        <w:t>JBI SUMARI</w:t>
      </w:r>
      <w:r w:rsidR="00767D17">
        <w:rPr>
          <w:b/>
          <w:bCs/>
        </w:rPr>
        <w:t xml:space="preserve"> </w:t>
      </w:r>
      <w:r w:rsidR="00767D17" w:rsidRPr="00767D17">
        <w:t>-</w:t>
      </w:r>
      <w:r w:rsidR="00767D17">
        <w:rPr>
          <w:b/>
          <w:bCs/>
        </w:rPr>
        <w:t xml:space="preserve"> </w:t>
      </w:r>
      <w:r w:rsidRPr="00BA2EF6">
        <w:t>narzędzie do zarządzania procesem przeglądu systematycznego, od protokołu do raportu.</w:t>
      </w:r>
    </w:p>
    <w:p w14:paraId="72D62856" w14:textId="51A32C16" w:rsidR="002518F1" w:rsidRDefault="002518F1"/>
    <w:p w14:paraId="288D0543" w14:textId="2DDC5B82" w:rsidR="008048C5" w:rsidRDefault="000C2492">
      <w:r>
        <w:t>Logowanie:</w:t>
      </w:r>
    </w:p>
    <w:p w14:paraId="21D489D9" w14:textId="10328B6B" w:rsidR="00B171D2" w:rsidRDefault="00EF3814" w:rsidP="000C2492">
      <w:pPr>
        <w:pStyle w:val="Akapitzlist"/>
        <w:numPr>
          <w:ilvl w:val="0"/>
          <w:numId w:val="8"/>
        </w:numPr>
      </w:pPr>
      <w:r>
        <w:t xml:space="preserve">Po </w:t>
      </w:r>
      <w:r w:rsidR="000C2492">
        <w:t>kliknięciu</w:t>
      </w:r>
      <w:r w:rsidR="00D250C7">
        <w:t xml:space="preserve"> lin</w:t>
      </w:r>
      <w:r w:rsidR="000C2492">
        <w:t>ku</w:t>
      </w:r>
      <w:r w:rsidRPr="00EF3814">
        <w:t xml:space="preserve">: </w:t>
      </w:r>
      <w:hyperlink r:id="rId8" w:history="1">
        <w:r w:rsidRPr="00EF3814">
          <w:rPr>
            <w:rStyle w:val="Hipercze"/>
          </w:rPr>
          <w:t>http://hanproxy.cm-uj.krakow.pl/han/uniwersytetjagiellonsk/</w:t>
        </w:r>
      </w:hyperlink>
      <w:r w:rsidR="00D250C7">
        <w:t xml:space="preserve"> wyświetli się strona startowa OVID Discovery. Aby przejść do narzędzia JBI SUMARI, należy kliknąć widoczne po prawej stronie ekranu logo bazy.</w:t>
      </w:r>
    </w:p>
    <w:p w14:paraId="76A6F1C4" w14:textId="10452F48" w:rsidR="00EF3814" w:rsidRDefault="00D250C7">
      <w:r w:rsidRPr="00D250C7">
        <w:rPr>
          <w:noProof/>
        </w:rPr>
        <w:drawing>
          <wp:inline distT="0" distB="0" distL="0" distR="0" wp14:anchorId="49338BC3" wp14:editId="0E77B5F0">
            <wp:extent cx="5760720" cy="2284095"/>
            <wp:effectExtent l="0" t="0" r="0" b="1905"/>
            <wp:docPr id="63030835" name="Obraz 1" descr="Obraz zawierający tekst, oprogramowanie, Strona internetowa, Ikona komputer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0835" name="Obraz 1" descr="Obraz zawierający tekst, oprogramowanie, Strona internetowa, Ikona komputerowa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0E13E" w14:textId="013849C9" w:rsidR="00D250C7" w:rsidRDefault="00D250C7" w:rsidP="000C2492">
      <w:pPr>
        <w:pStyle w:val="Akapitzlist"/>
        <w:numPr>
          <w:ilvl w:val="0"/>
          <w:numId w:val="8"/>
        </w:numPr>
      </w:pPr>
      <w:r>
        <w:t>Ukaże się strona główna OVID. Z głównego Menu należy wybrać opcję EBP Tools, a następnie SUMARI.</w:t>
      </w:r>
    </w:p>
    <w:p w14:paraId="2364A77B" w14:textId="45068156" w:rsidR="00EF3814" w:rsidRDefault="00D250C7">
      <w:r w:rsidRPr="00D250C7">
        <w:rPr>
          <w:noProof/>
        </w:rPr>
        <w:drawing>
          <wp:inline distT="0" distB="0" distL="0" distR="0" wp14:anchorId="259C8D88" wp14:editId="60FD4C3A">
            <wp:extent cx="5760720" cy="1456055"/>
            <wp:effectExtent l="0" t="0" r="0" b="0"/>
            <wp:docPr id="777507669" name="Obraz 1" descr="Obraz zawierający tekst, zrzut ekranu, oprogramowanie, Ikona komputero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507669" name="Obraz 1" descr="Obraz zawierający tekst, zrzut ekranu, oprogramowanie, Ikona komputerowa&#10;&#10;Zawartość wygenerowana przez sztuczną inteligencję może być niepoprawna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F663" w14:textId="47CF9BB9" w:rsidR="000C2492" w:rsidRDefault="000C2492" w:rsidP="000C2492">
      <w:pPr>
        <w:pStyle w:val="Akapitzlist"/>
        <w:numPr>
          <w:ilvl w:val="0"/>
          <w:numId w:val="8"/>
        </w:numPr>
      </w:pPr>
      <w:r>
        <w:t>Wyświetli się strona logowania do JBI. Jeśli posiadamy konto do produktów JBI</w:t>
      </w:r>
      <w:r w:rsidR="00385536">
        <w:t>,</w:t>
      </w:r>
      <w:r>
        <w:t xml:space="preserve"> należy wypełnić pola i wybrać </w:t>
      </w:r>
      <w:proofErr w:type="spellStart"/>
      <w:r w:rsidRPr="00FB671E">
        <w:rPr>
          <w:b/>
          <w:bCs/>
        </w:rPr>
        <w:t>Submit</w:t>
      </w:r>
      <w:proofErr w:type="spellEnd"/>
      <w:r>
        <w:t xml:space="preserve">. Jeśli nie, to korzystając z opcji Register New User należy założyć konto. W tym przypadku wyświetli się formularz, w którym należy podać dane takie jak: imię, nazwisko, e-mail oraz hasło. Po wybraniu </w:t>
      </w:r>
      <w:proofErr w:type="spellStart"/>
      <w:r w:rsidRPr="00FB671E">
        <w:rPr>
          <w:b/>
          <w:bCs/>
        </w:rPr>
        <w:t>Submit</w:t>
      </w:r>
      <w:proofErr w:type="spellEnd"/>
      <w:r>
        <w:t xml:space="preserve"> nastąpi automatyczne zalogowanie na utworzone konto.</w:t>
      </w:r>
    </w:p>
    <w:p w14:paraId="4F6C0F40" w14:textId="77777777" w:rsidR="00D250C7" w:rsidRDefault="00D250C7"/>
    <w:p w14:paraId="3F6AF141" w14:textId="48181B94" w:rsidR="00D250C7" w:rsidRDefault="000C2492">
      <w:r w:rsidRPr="000C2492">
        <w:rPr>
          <w:noProof/>
        </w:rPr>
        <w:drawing>
          <wp:inline distT="0" distB="0" distL="0" distR="0" wp14:anchorId="5FE6DF85" wp14:editId="4F181ECF">
            <wp:extent cx="3365500" cy="1882056"/>
            <wp:effectExtent l="0" t="0" r="6350" b="4445"/>
            <wp:docPr id="1183275770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75770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8436" cy="18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FAB4" w14:textId="55B9F2D5" w:rsidR="000A2333" w:rsidRPr="00767D17" w:rsidRDefault="000A2333">
      <w:pPr>
        <w:rPr>
          <w:i/>
          <w:iCs/>
        </w:rPr>
      </w:pPr>
      <w:r>
        <w:t xml:space="preserve">Aby rozpocząć nowy projekt należy wybrać przycisk </w:t>
      </w:r>
      <w:proofErr w:type="spellStart"/>
      <w:r w:rsidRPr="00FB671E">
        <w:rPr>
          <w:b/>
          <w:bCs/>
        </w:rPr>
        <w:t>Create</w:t>
      </w:r>
      <w:proofErr w:type="spellEnd"/>
      <w:r w:rsidRPr="00FB671E">
        <w:rPr>
          <w:b/>
          <w:bCs/>
        </w:rPr>
        <w:t xml:space="preserve"> Project</w:t>
      </w:r>
      <w:r>
        <w:t xml:space="preserve">, a następnie określić typ przeglądu. Strona projektu </w:t>
      </w:r>
      <w:r w:rsidR="00385536">
        <w:t>składa się z</w:t>
      </w:r>
      <w:r w:rsidR="00B171D2">
        <w:t xml:space="preserve"> sied</w:t>
      </w:r>
      <w:r w:rsidR="00385536">
        <w:t>miu</w:t>
      </w:r>
      <w:r>
        <w:t xml:space="preserve"> części</w:t>
      </w:r>
      <w:r w:rsidRPr="00767D17">
        <w:rPr>
          <w:i/>
          <w:iCs/>
        </w:rPr>
        <w:t xml:space="preserve">: </w:t>
      </w:r>
      <w:proofErr w:type="spellStart"/>
      <w:r w:rsidRPr="00767D17">
        <w:rPr>
          <w:i/>
          <w:iCs/>
        </w:rPr>
        <w:t>Overview</w:t>
      </w:r>
      <w:proofErr w:type="spellEnd"/>
      <w:r w:rsidRPr="00767D17">
        <w:rPr>
          <w:i/>
          <w:iCs/>
        </w:rPr>
        <w:t xml:space="preserve">, </w:t>
      </w:r>
      <w:proofErr w:type="spellStart"/>
      <w:r w:rsidRPr="00767D17">
        <w:rPr>
          <w:i/>
          <w:iCs/>
        </w:rPr>
        <w:t>Protocol</w:t>
      </w:r>
      <w:proofErr w:type="spellEnd"/>
      <w:r w:rsidRPr="00767D17">
        <w:rPr>
          <w:i/>
          <w:iCs/>
        </w:rPr>
        <w:t xml:space="preserve">, Screening, </w:t>
      </w:r>
      <w:proofErr w:type="spellStart"/>
      <w:r w:rsidRPr="00767D17">
        <w:rPr>
          <w:i/>
          <w:iCs/>
        </w:rPr>
        <w:t>Appraisal</w:t>
      </w:r>
      <w:proofErr w:type="spellEnd"/>
      <w:r w:rsidRPr="00767D17">
        <w:rPr>
          <w:i/>
          <w:iCs/>
        </w:rPr>
        <w:t xml:space="preserve">, </w:t>
      </w:r>
      <w:proofErr w:type="spellStart"/>
      <w:r w:rsidRPr="00767D17">
        <w:rPr>
          <w:i/>
          <w:iCs/>
        </w:rPr>
        <w:t>Extracion</w:t>
      </w:r>
      <w:proofErr w:type="spellEnd"/>
      <w:r w:rsidRPr="00767D17">
        <w:rPr>
          <w:i/>
          <w:iCs/>
        </w:rPr>
        <w:t xml:space="preserve">, </w:t>
      </w:r>
      <w:proofErr w:type="spellStart"/>
      <w:r w:rsidRPr="00767D17">
        <w:rPr>
          <w:i/>
          <w:iCs/>
        </w:rPr>
        <w:t>Synthesis</w:t>
      </w:r>
      <w:proofErr w:type="spellEnd"/>
      <w:r w:rsidRPr="00767D17">
        <w:rPr>
          <w:i/>
          <w:iCs/>
        </w:rPr>
        <w:t xml:space="preserve">, </w:t>
      </w:r>
      <w:proofErr w:type="spellStart"/>
      <w:r w:rsidRPr="00767D17">
        <w:rPr>
          <w:i/>
          <w:iCs/>
        </w:rPr>
        <w:t>Review</w:t>
      </w:r>
      <w:proofErr w:type="spellEnd"/>
      <w:r w:rsidRPr="00767D17">
        <w:rPr>
          <w:i/>
          <w:iCs/>
        </w:rPr>
        <w:t>.</w:t>
      </w:r>
    </w:p>
    <w:p w14:paraId="46FD8D02" w14:textId="077AF81F" w:rsidR="00DE3AF6" w:rsidRDefault="00DE3AF6">
      <w:r w:rsidRPr="00DE3AF6">
        <w:rPr>
          <w:noProof/>
        </w:rPr>
        <w:drawing>
          <wp:inline distT="0" distB="0" distL="0" distR="0" wp14:anchorId="5632D435" wp14:editId="3A451672">
            <wp:extent cx="5760720" cy="935355"/>
            <wp:effectExtent l="0" t="0" r="0" b="0"/>
            <wp:docPr id="475099175" name="Obraz 1" descr="Obraz zawierający tekst, Czcionka, lini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99175" name="Obraz 1" descr="Obraz zawierający tekst, Czcionka, linia, zrzut ekranu&#10;&#10;Zawartość wygenerowana przez sztuczną inteligencję może być niepoprawna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2A7FB" w14:textId="4D3A9892" w:rsidR="000A2333" w:rsidRPr="00767D17" w:rsidRDefault="000A2333" w:rsidP="000A2333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767D17">
        <w:rPr>
          <w:b/>
          <w:bCs/>
        </w:rPr>
        <w:t>Overview</w:t>
      </w:r>
      <w:proofErr w:type="spellEnd"/>
    </w:p>
    <w:p w14:paraId="255A0C61" w14:textId="0F8A8B58" w:rsidR="007A5E35" w:rsidRDefault="00BA2EF6">
      <w:r>
        <w:t>Osoba tworząca nowy projekt automatycznie zyskuje uprawnienia właściciela, ale może przekazać to uprawnienie inne osobie zaproszonej do projektu. Zaprosić można nieograniczoną liczbę osób</w:t>
      </w:r>
      <w:r w:rsidR="00157141">
        <w:t xml:space="preserve"> </w:t>
      </w:r>
      <w:r w:rsidR="007A5E35">
        <w:t xml:space="preserve">(wszyscy muszą posiadać licencjonowany dostęp do narzędzia) </w:t>
      </w:r>
      <w:r w:rsidR="00157141">
        <w:t>i nadać im uprawnienia</w:t>
      </w:r>
      <w:r w:rsidR="0009389A">
        <w:t>:</w:t>
      </w:r>
    </w:p>
    <w:p w14:paraId="41EBF17F" w14:textId="551293BF" w:rsidR="007A5E35" w:rsidRDefault="00157141" w:rsidP="007E379C">
      <w:pPr>
        <w:pStyle w:val="Akapitzlist"/>
        <w:numPr>
          <w:ilvl w:val="0"/>
          <w:numId w:val="1"/>
        </w:numPr>
      </w:pPr>
      <w:r>
        <w:t xml:space="preserve"> </w:t>
      </w:r>
      <w:proofErr w:type="spellStart"/>
      <w:r>
        <w:t>priviledged</w:t>
      </w:r>
      <w:proofErr w:type="spellEnd"/>
      <w:r>
        <w:t xml:space="preserve"> </w:t>
      </w:r>
      <w:proofErr w:type="spellStart"/>
      <w:r>
        <w:t>author</w:t>
      </w:r>
      <w:proofErr w:type="spellEnd"/>
      <w:r w:rsidR="0009389A">
        <w:t xml:space="preserve">  </w:t>
      </w:r>
      <w:r w:rsidR="007A5E35">
        <w:t xml:space="preserve">– posiada uprawnienia do wszystkich funkcjonalności narzędzia poza tymi </w:t>
      </w:r>
      <w:r w:rsidR="002D439D">
        <w:t xml:space="preserve">związanymi z nadawaniem uprawień oraz edycją </w:t>
      </w:r>
      <w:r w:rsidR="002D439D" w:rsidRPr="002D439D">
        <w:t>końcowy</w:t>
      </w:r>
      <w:r w:rsidR="002D439D">
        <w:t>ch</w:t>
      </w:r>
      <w:r w:rsidR="002D439D" w:rsidRPr="002D439D">
        <w:t xml:space="preserve"> wynik</w:t>
      </w:r>
      <w:r w:rsidR="002D439D">
        <w:t>ów</w:t>
      </w:r>
      <w:r w:rsidR="002D439D" w:rsidRPr="002D439D">
        <w:t xml:space="preserve"> ekstrakcji danych</w:t>
      </w:r>
      <w:r w:rsidR="002D439D">
        <w:t xml:space="preserve"> </w:t>
      </w:r>
    </w:p>
    <w:p w14:paraId="4CD74474" w14:textId="0030E8FB" w:rsidR="002D439D" w:rsidRDefault="0009389A" w:rsidP="007E379C">
      <w:pPr>
        <w:pStyle w:val="Akapitzlist"/>
        <w:numPr>
          <w:ilvl w:val="0"/>
          <w:numId w:val="1"/>
        </w:numPr>
      </w:pPr>
      <w:proofErr w:type="spellStart"/>
      <w:r>
        <w:t>a</w:t>
      </w:r>
      <w:r w:rsidR="00157141">
        <w:t>ut</w:t>
      </w:r>
      <w:r>
        <w:t>h</w:t>
      </w:r>
      <w:r w:rsidR="00157141">
        <w:t>or</w:t>
      </w:r>
      <w:proofErr w:type="spellEnd"/>
      <w:r w:rsidR="002D439D">
        <w:t xml:space="preserve"> – ograniczenia</w:t>
      </w:r>
      <w:r w:rsidR="00E80A1F">
        <w:t xml:space="preserve"> </w:t>
      </w:r>
      <w:r w:rsidR="002D439D">
        <w:t>dotycząc</w:t>
      </w:r>
      <w:r w:rsidR="00E80A1F">
        <w:t>e</w:t>
      </w:r>
      <w:r w:rsidR="002D439D">
        <w:t xml:space="preserve"> autora uprzywilejowanego</w:t>
      </w:r>
      <w:r w:rsidR="00E80A1F">
        <w:t xml:space="preserve">, a także nie może dodawać ręcznie ani importować </w:t>
      </w:r>
      <w:r w:rsidR="007E379C">
        <w:t>literatury</w:t>
      </w:r>
      <w:r w:rsidR="00E80A1F">
        <w:t xml:space="preserve"> do przeglądu oraz nie ma praw do podglądu oraz edycji </w:t>
      </w:r>
      <w:r w:rsidR="00E80A1F" w:rsidRPr="00E80A1F">
        <w:t>końcow</w:t>
      </w:r>
      <w:r w:rsidR="00E80A1F">
        <w:t>ych</w:t>
      </w:r>
      <w:r w:rsidR="00E80A1F" w:rsidRPr="00E80A1F">
        <w:t xml:space="preserve"> wynik</w:t>
      </w:r>
      <w:r w:rsidR="00E80A1F">
        <w:t xml:space="preserve">ów </w:t>
      </w:r>
      <w:r w:rsidR="00E80A1F" w:rsidRPr="00E80A1F">
        <w:t xml:space="preserve">krytycznej oceny </w:t>
      </w:r>
      <w:r w:rsidR="00E80A1F">
        <w:t>źródeł</w:t>
      </w:r>
    </w:p>
    <w:p w14:paraId="7C7652D0" w14:textId="67CE21D4" w:rsidR="00BA2EF6" w:rsidRDefault="00157141" w:rsidP="007E379C">
      <w:pPr>
        <w:pStyle w:val="Akapitzlist"/>
        <w:numPr>
          <w:ilvl w:val="0"/>
          <w:numId w:val="1"/>
        </w:numPr>
      </w:pPr>
      <w:proofErr w:type="spellStart"/>
      <w:r>
        <w:t>re</w:t>
      </w:r>
      <w:r w:rsidR="0009389A">
        <w:t>viewer</w:t>
      </w:r>
      <w:proofErr w:type="spellEnd"/>
      <w:r w:rsidR="007E379C">
        <w:t xml:space="preserve"> – uprawnienia do przeglądu literatury i rozstrzygania spornych ocen, wstępnej oceny krytycznej oraz ekstrakcji danych (poza edycją </w:t>
      </w:r>
      <w:r w:rsidR="007E379C" w:rsidRPr="002D439D">
        <w:t>końcowy</w:t>
      </w:r>
      <w:r w:rsidR="007E379C">
        <w:t>ch</w:t>
      </w:r>
      <w:r w:rsidR="007E379C" w:rsidRPr="002D439D">
        <w:t xml:space="preserve"> wynik</w:t>
      </w:r>
      <w:r w:rsidR="007E379C">
        <w:t>ów</w:t>
      </w:r>
      <w:r w:rsidR="007E379C" w:rsidRPr="002D439D">
        <w:t xml:space="preserve"> ekstrakcji danych</w:t>
      </w:r>
      <w:r w:rsidR="007E379C">
        <w:t>).</w:t>
      </w:r>
    </w:p>
    <w:p w14:paraId="51F7AE88" w14:textId="3FCF22CB" w:rsidR="000A2333" w:rsidRDefault="007E379C">
      <w:r>
        <w:t xml:space="preserve">W </w:t>
      </w:r>
      <w:r w:rsidR="00DE3AF6">
        <w:t xml:space="preserve">tej części </w:t>
      </w:r>
      <w:r>
        <w:t>można określić powody do wykluczenia danej pracy z przeglądu oraz słowa kluczowe, które ułatwią decyzję o włączeniu lub wykluczeniu.</w:t>
      </w:r>
      <w:r w:rsidR="00004637">
        <w:t xml:space="preserve"> </w:t>
      </w:r>
    </w:p>
    <w:p w14:paraId="12BCAB91" w14:textId="7AD6C600" w:rsidR="000A2333" w:rsidRPr="00767D17" w:rsidRDefault="000A2333" w:rsidP="000A2333">
      <w:pPr>
        <w:pStyle w:val="Akapitzlist"/>
        <w:numPr>
          <w:ilvl w:val="0"/>
          <w:numId w:val="2"/>
        </w:numPr>
        <w:ind w:left="714" w:hanging="357"/>
        <w:rPr>
          <w:b/>
          <w:bCs/>
        </w:rPr>
      </w:pPr>
      <w:proofErr w:type="spellStart"/>
      <w:r w:rsidRPr="00767D17">
        <w:rPr>
          <w:b/>
          <w:bCs/>
        </w:rPr>
        <w:t>Protocol</w:t>
      </w:r>
      <w:proofErr w:type="spellEnd"/>
    </w:p>
    <w:p w14:paraId="7CBE1BC2" w14:textId="037366BF" w:rsidR="000A2333" w:rsidRDefault="000A2333" w:rsidP="000A2333">
      <w:r>
        <w:t xml:space="preserve">W zależności od wybranego typu przeglądu, narzędzie wyświetla format z edytowalnymi częściami charakterystycznymi dla protokołu, łącznie z polem tytułu oraz autorów wraz z afiliacją. </w:t>
      </w:r>
      <w:r w:rsidR="006A12D7">
        <w:t xml:space="preserve">Części tekstu zaznaczone żółty kolorem służą celom przykładowym i powinny zostać zmienione w zależności od potrzeb. </w:t>
      </w:r>
      <w:r>
        <w:t>Z prawej strony ekranu dostępna jest opcja automatycznego cytowania wprowadzonej do narzędzia literatury.</w:t>
      </w:r>
      <w:r w:rsidR="007605A4">
        <w:t xml:space="preserve"> Aby zacytować pracę, wystarczy ją odszukać, a następnie uchwycić i upuścić w żądanym miejscu (tzw. </w:t>
      </w:r>
      <w:r w:rsidR="007605A4" w:rsidRPr="007605A4">
        <w:t>Drag 'n' Drop)</w:t>
      </w:r>
      <w:r w:rsidR="007605A4">
        <w:t>.</w:t>
      </w:r>
    </w:p>
    <w:p w14:paraId="6419416E" w14:textId="77777777" w:rsidR="000A2333" w:rsidRPr="00767D17" w:rsidRDefault="000A2333" w:rsidP="000A2333">
      <w:pPr>
        <w:pStyle w:val="Akapitzlist"/>
        <w:numPr>
          <w:ilvl w:val="0"/>
          <w:numId w:val="2"/>
        </w:numPr>
        <w:ind w:left="714" w:hanging="357"/>
        <w:rPr>
          <w:b/>
          <w:bCs/>
        </w:rPr>
      </w:pPr>
      <w:r w:rsidRPr="00767D17">
        <w:rPr>
          <w:b/>
          <w:bCs/>
        </w:rPr>
        <w:t>Screening</w:t>
      </w:r>
    </w:p>
    <w:p w14:paraId="6607073C" w14:textId="55BCE652" w:rsidR="000A2333" w:rsidRDefault="000A2333" w:rsidP="000A2333">
      <w:r>
        <w:t xml:space="preserve">Literaturę do przeglądu można dodać manualnie (opcja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record</w:t>
      </w:r>
      <w:proofErr w:type="spellEnd"/>
      <w:r>
        <w:t>) lub skorzystać z opcji importu (tylko pliki o rozszerzeniu .</w:t>
      </w:r>
      <w:proofErr w:type="spellStart"/>
      <w:r>
        <w:t>ris</w:t>
      </w:r>
      <w:proofErr w:type="spellEnd"/>
      <w:r>
        <w:t xml:space="preserve"> lub .htlm) np. z </w:t>
      </w:r>
      <w:proofErr w:type="spellStart"/>
      <w:r>
        <w:t>Ovid</w:t>
      </w:r>
      <w:proofErr w:type="spellEnd"/>
      <w:r>
        <w:t xml:space="preserve"> – </w:t>
      </w:r>
      <w:proofErr w:type="spellStart"/>
      <w:r>
        <w:t>Medline</w:t>
      </w:r>
      <w:proofErr w:type="spellEnd"/>
      <w:r>
        <w:t>, EMBASE, Web od Science.</w:t>
      </w:r>
    </w:p>
    <w:p w14:paraId="2E8357C5" w14:textId="39DC2B9E" w:rsidR="001C2130" w:rsidRDefault="004240EC">
      <w:r>
        <w:t>Prace zaakceptowan</w:t>
      </w:r>
      <w:r w:rsidR="00C32E9A">
        <w:t>e na etapie sprawdzania tytułów i abstraktów przechodzą automatycznie do sprawdzenia pełnych tekstów. W przypadku odrzucenia pracy na tym etapie, należy określić</w:t>
      </w:r>
      <w:r w:rsidR="00DB1546">
        <w:t xml:space="preserve"> powód</w:t>
      </w:r>
      <w:r w:rsidR="00901610">
        <w:t xml:space="preserve"> odrzucenia</w:t>
      </w:r>
      <w:r w:rsidR="00DB1546">
        <w:t>.</w:t>
      </w:r>
      <w:r w:rsidR="0079030F">
        <w:t xml:space="preserve"> </w:t>
      </w:r>
      <w:r w:rsidR="000A2333">
        <w:t xml:space="preserve">Jeśli chcemy zmienić decyzję, jest to możliwe w części My </w:t>
      </w:r>
      <w:proofErr w:type="spellStart"/>
      <w:r w:rsidR="000A2333">
        <w:t>Decisions</w:t>
      </w:r>
      <w:proofErr w:type="spellEnd"/>
      <w:r w:rsidR="000A2333">
        <w:t xml:space="preserve"> poprzez użycie przycisku </w:t>
      </w:r>
      <w:proofErr w:type="spellStart"/>
      <w:r w:rsidR="000A2333">
        <w:t>Revert</w:t>
      </w:r>
      <w:proofErr w:type="spellEnd"/>
      <w:r w:rsidR="000A2333">
        <w:t xml:space="preserve"> my </w:t>
      </w:r>
      <w:proofErr w:type="spellStart"/>
      <w:r w:rsidR="000A2333">
        <w:t>decision</w:t>
      </w:r>
      <w:proofErr w:type="spellEnd"/>
      <w:r w:rsidR="000A2333">
        <w:t xml:space="preserve">. W takim przypadku praca trafia do puli oczekujących na ocenę. </w:t>
      </w:r>
      <w:r w:rsidR="0079030F">
        <w:t>Oceny sporne (jedna osoba zaakceptowała pracę, druga ją odrzuciła) mogą być rozstrzygnięte przez innych współautorów.</w:t>
      </w:r>
      <w:r w:rsidR="00C97B11">
        <w:t xml:space="preserve"> Natomiast tylko osoby z rolą właściciela lub autora uprzywilejowanego mogą zmienić decyzję zespołu (opcja </w:t>
      </w:r>
      <w:proofErr w:type="spellStart"/>
      <w:r w:rsidR="00C97B11">
        <w:t>Revert</w:t>
      </w:r>
      <w:proofErr w:type="spellEnd"/>
      <w:r w:rsidR="00C97B11">
        <w:t xml:space="preserve"> team </w:t>
      </w:r>
      <w:proofErr w:type="spellStart"/>
      <w:r w:rsidR="00C97B11">
        <w:t>decision</w:t>
      </w:r>
      <w:proofErr w:type="spellEnd"/>
      <w:r w:rsidR="00C97B11">
        <w:t xml:space="preserve">). </w:t>
      </w:r>
    </w:p>
    <w:p w14:paraId="7674D122" w14:textId="757DC08A" w:rsidR="004240EC" w:rsidRDefault="002518F1">
      <w:r>
        <w:t xml:space="preserve">Jeśli </w:t>
      </w:r>
      <w:r w:rsidR="001C2130">
        <w:t xml:space="preserve">w puli istnieją dwie takie same prace lub </w:t>
      </w:r>
      <w:r>
        <w:t>opierają</w:t>
      </w:r>
      <w:r w:rsidR="001C2130">
        <w:t>ce</w:t>
      </w:r>
      <w:r>
        <w:t xml:space="preserve"> się na tym samym zestawie danych, </w:t>
      </w:r>
      <w:r w:rsidR="001C2130">
        <w:t>należy je</w:t>
      </w:r>
      <w:r>
        <w:t xml:space="preserve"> połącz</w:t>
      </w:r>
      <w:r w:rsidR="001C2130">
        <w:t>yć</w:t>
      </w:r>
      <w:r>
        <w:t xml:space="preserve">. W tym celu należy wybrać opcję Show </w:t>
      </w:r>
      <w:proofErr w:type="spellStart"/>
      <w:r>
        <w:t>action</w:t>
      </w:r>
      <w:proofErr w:type="spellEnd"/>
      <w:r>
        <w:t xml:space="preserve">, a następnie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. Narzędzie zaproponuje prace do połączenia, wybieramy </w:t>
      </w:r>
      <w:r w:rsidR="00B62FF6">
        <w:t>właściwą</w:t>
      </w:r>
      <w:r>
        <w:t xml:space="preserve"> i ponownie wybieramy </w:t>
      </w:r>
      <w:proofErr w:type="spellStart"/>
      <w:r>
        <w:t>Merge</w:t>
      </w:r>
      <w:proofErr w:type="spellEnd"/>
      <w:r>
        <w:t>.</w:t>
      </w:r>
      <w:r w:rsidR="00B62FF6">
        <w:t xml:space="preserve"> Połączone prace będą prezentowane jako jeden reko</w:t>
      </w:r>
      <w:r w:rsidR="003E102B">
        <w:t>r</w:t>
      </w:r>
      <w:r w:rsidR="00B62FF6">
        <w:t>d.</w:t>
      </w:r>
      <w:r w:rsidR="001C2130">
        <w:t xml:space="preserve"> </w:t>
      </w:r>
    </w:p>
    <w:p w14:paraId="4D0D2655" w14:textId="4708DA6B" w:rsidR="003E102B" w:rsidRDefault="003E102B">
      <w:r>
        <w:t>Istnieje też możliwość dodania własnych notatek pomocnych w podejmowaniu decyzji i określenia czy mają</w:t>
      </w:r>
      <w:r w:rsidR="007904D9">
        <w:t xml:space="preserve"> </w:t>
      </w:r>
      <w:r>
        <w:t>być widoczne tylko dla twórcy, czy dla wszystkich współautorów.</w:t>
      </w:r>
      <w:r w:rsidR="007904D9">
        <w:t xml:space="preserve"> W tym celu należy wybrać opcję Show </w:t>
      </w:r>
      <w:proofErr w:type="spellStart"/>
      <w:r w:rsidR="007904D9">
        <w:t>action</w:t>
      </w:r>
      <w:proofErr w:type="spellEnd"/>
      <w:r w:rsidR="007904D9">
        <w:t xml:space="preserve">, a następnie </w:t>
      </w:r>
      <w:proofErr w:type="spellStart"/>
      <w:r w:rsidR="007904D9">
        <w:t>Add</w:t>
      </w:r>
      <w:proofErr w:type="spellEnd"/>
      <w:r w:rsidR="007904D9">
        <w:t xml:space="preserve"> </w:t>
      </w:r>
      <w:proofErr w:type="spellStart"/>
      <w:r w:rsidR="007904D9">
        <w:t>Note</w:t>
      </w:r>
      <w:proofErr w:type="spellEnd"/>
      <w:r w:rsidR="007904D9">
        <w:t>. Jeśli do rekordu została dodana notatka, pojawi się opcja Show notes.</w:t>
      </w:r>
      <w:r w:rsidR="00183DD2">
        <w:t xml:space="preserve"> Dodane notatki można edytować.</w:t>
      </w:r>
    </w:p>
    <w:p w14:paraId="20015E44" w14:textId="0A5E883B" w:rsidR="006651C2" w:rsidRDefault="006651C2">
      <w:r>
        <w:t xml:space="preserve">W opcji Show </w:t>
      </w:r>
      <w:proofErr w:type="spellStart"/>
      <w:r>
        <w:t>action</w:t>
      </w:r>
      <w:proofErr w:type="spellEnd"/>
      <w:r>
        <w:t xml:space="preserve"> jest również dostępna możliwość edycji danych bibliograficznych, łącznie z typem publikacji, jeśli wprowadziliśmy lub zaimportowały się błędne dane. </w:t>
      </w:r>
    </w:p>
    <w:p w14:paraId="4CE9CEB7" w14:textId="3D5E15AA" w:rsidR="007A5E35" w:rsidRDefault="00004637">
      <w:r>
        <w:t xml:space="preserve">W podsumowaniu z podziałem na przesiew z zakresie tytułów </w:t>
      </w:r>
      <w:r w:rsidR="00393F35">
        <w:t>i abstraktów oraz pełnych tekstów widoczne są informacje m.in. o tym ile prac oczekuje na ocenę</w:t>
      </w:r>
      <w:r w:rsidR="00C32E9A">
        <w:t>/sprawdzenie</w:t>
      </w:r>
      <w:r w:rsidR="00393F35">
        <w:t>, ile zostało zaakceptowanych lub odrzuconych, ile było spornych ocen.</w:t>
      </w:r>
    </w:p>
    <w:p w14:paraId="4BC6FBB8" w14:textId="2B3960CC" w:rsidR="005B198C" w:rsidRDefault="00A81760">
      <w:r>
        <w:t xml:space="preserve">Po zakończeniu procesu przesiewu można wyeksportować rezultaty (opcja Export </w:t>
      </w:r>
      <w:proofErr w:type="spellStart"/>
      <w:r>
        <w:t>Studies</w:t>
      </w:r>
      <w:proofErr w:type="spellEnd"/>
      <w:r>
        <w:t>) do pliku Word (plik o rozszerzeniu .</w:t>
      </w:r>
      <w:proofErr w:type="spellStart"/>
      <w:r>
        <w:t>docx</w:t>
      </w:r>
      <w:proofErr w:type="spellEnd"/>
      <w:r>
        <w:t>) lub do menadżerów monografii (pliki o rozszerzeniu .</w:t>
      </w:r>
      <w:proofErr w:type="spellStart"/>
      <w:r>
        <w:t>csv</w:t>
      </w:r>
      <w:proofErr w:type="spellEnd"/>
      <w:r>
        <w:t>, .</w:t>
      </w:r>
      <w:proofErr w:type="spellStart"/>
      <w:r>
        <w:t>ris</w:t>
      </w:r>
      <w:proofErr w:type="spellEnd"/>
      <w:r>
        <w:t>, .</w:t>
      </w:r>
      <w:proofErr w:type="spellStart"/>
      <w:r>
        <w:t>hml</w:t>
      </w:r>
      <w:proofErr w:type="spellEnd"/>
      <w:r>
        <w:t>). W</w:t>
      </w:r>
      <w:r w:rsidR="00904724">
        <w:t xml:space="preserve"> przypadku eksportu do Word, otrzymamy wstępnie przygotowany do uwzględniania w końcowej publikacji</w:t>
      </w:r>
      <w:r w:rsidR="00F13DA4">
        <w:t>, aczkolwiek</w:t>
      </w:r>
      <w:r w:rsidR="00904724">
        <w:t xml:space="preserve"> wymagający uzupełnień opis przeprowadzonego procesu, PRISMA 2000 </w:t>
      </w:r>
      <w:proofErr w:type="spellStart"/>
      <w:r w:rsidR="00904724">
        <w:t>flow</w:t>
      </w:r>
      <w:proofErr w:type="spellEnd"/>
      <w:r w:rsidR="00904724">
        <w:t xml:space="preserve"> diagram oraz załącznik z opisami bibliograficznymi włączonych i odrzuconych prac.</w:t>
      </w:r>
    </w:p>
    <w:p w14:paraId="58CA30DA" w14:textId="77777777" w:rsidR="00F13DA4" w:rsidRPr="00767D17" w:rsidRDefault="00F13DA4" w:rsidP="00F13DA4">
      <w:pPr>
        <w:pStyle w:val="Akapitzlist"/>
        <w:numPr>
          <w:ilvl w:val="0"/>
          <w:numId w:val="2"/>
        </w:numPr>
        <w:ind w:left="714" w:hanging="357"/>
        <w:rPr>
          <w:b/>
          <w:bCs/>
        </w:rPr>
      </w:pPr>
      <w:proofErr w:type="spellStart"/>
      <w:r w:rsidRPr="00767D17">
        <w:rPr>
          <w:b/>
          <w:bCs/>
        </w:rPr>
        <w:t>Appraisal</w:t>
      </w:r>
      <w:proofErr w:type="spellEnd"/>
    </w:p>
    <w:p w14:paraId="47073A4A" w14:textId="178740DE" w:rsidR="00010615" w:rsidRDefault="00F13DA4">
      <w:r>
        <w:t>W tej części przy każdej włączonej pozycji należy określić szczegółowy typ dokumentu</w:t>
      </w:r>
      <w:r w:rsidR="00384F54">
        <w:t>. W</w:t>
      </w:r>
      <w:r>
        <w:t>ybrani</w:t>
      </w:r>
      <w:r w:rsidR="00384F54">
        <w:t>e</w:t>
      </w:r>
      <w:r>
        <w:t xml:space="preserve"> opcji Start</w:t>
      </w:r>
      <w:r w:rsidR="00384F54">
        <w:t xml:space="preserve"> </w:t>
      </w:r>
      <w:r>
        <w:t>wyświetli formularz z pytaniami, na które należy udzielić odpowiedzi</w:t>
      </w:r>
      <w:r w:rsidR="00DD1F76">
        <w:t xml:space="preserve"> oraz możliwoś</w:t>
      </w:r>
      <w:r w:rsidR="00384F54">
        <w:t>cią</w:t>
      </w:r>
      <w:r w:rsidR="00DD1F76">
        <w:t xml:space="preserve"> dodania komentarza</w:t>
      </w:r>
      <w:r>
        <w:t xml:space="preserve">. </w:t>
      </w:r>
      <w:r w:rsidR="00DD1F76">
        <w:t>Po zakończeniu tej części oceny, uaktywni się ostatni przycisk Start, który otwiera formularz ostatecznej oceny jakości uwzględnionych dowodów z ocenami poszczególnych współautorów.</w:t>
      </w:r>
      <w:r w:rsidR="00384F54">
        <w:t xml:space="preserve"> Wyniki ostatecznej oceny można wyeksportować do pliku Word, korzystając z opcji Export DOCX.</w:t>
      </w:r>
      <w:r w:rsidR="00E9297B">
        <w:t xml:space="preserve"> W pobranym pliku w tabelki z wynikami </w:t>
      </w:r>
      <w:r w:rsidR="0052080D">
        <w:t xml:space="preserve">zakończonej </w:t>
      </w:r>
      <w:r w:rsidR="00E9297B">
        <w:t>oceny</w:t>
      </w:r>
      <w:r w:rsidR="0052080D">
        <w:t>.</w:t>
      </w:r>
    </w:p>
    <w:p w14:paraId="43470457" w14:textId="77777777" w:rsidR="0052080D" w:rsidRPr="00767D17" w:rsidRDefault="0052080D" w:rsidP="0052080D">
      <w:pPr>
        <w:pStyle w:val="Akapitzlist"/>
        <w:numPr>
          <w:ilvl w:val="0"/>
          <w:numId w:val="2"/>
        </w:numPr>
        <w:ind w:left="714" w:hanging="357"/>
        <w:rPr>
          <w:b/>
          <w:bCs/>
        </w:rPr>
      </w:pPr>
      <w:proofErr w:type="spellStart"/>
      <w:r w:rsidRPr="00767D17">
        <w:rPr>
          <w:b/>
          <w:bCs/>
        </w:rPr>
        <w:t>Extracion</w:t>
      </w:r>
      <w:proofErr w:type="spellEnd"/>
    </w:p>
    <w:p w14:paraId="60BE1887" w14:textId="7E0B685C" w:rsidR="0052080D" w:rsidRDefault="00782ADE">
      <w:r>
        <w:t xml:space="preserve">W tej części, wyświetlą się tylko </w:t>
      </w:r>
      <w:r w:rsidR="00565292">
        <w:t>p</w:t>
      </w:r>
      <w:r>
        <w:t>race, które zostały zaakceptowane na wcześniejszym etapie. Kliknięcie przycisku Start uruchamia formularz z pytaniami odnośnie do danych demograficznych, grup uwzględnionych w badaniu, uzyskanych rezultatów oraz opisu najważniejszych wyników.</w:t>
      </w:r>
      <w:r w:rsidR="00565292">
        <w:t xml:space="preserve"> Opcja Export DOCX służy do wyeksportowania uzyskanych wyników jako załącznika w formie tabeli.</w:t>
      </w:r>
    </w:p>
    <w:p w14:paraId="6071E437" w14:textId="77777777" w:rsidR="00FF5C67" w:rsidRPr="00767D17" w:rsidRDefault="00FF5C67" w:rsidP="00FF5C67">
      <w:pPr>
        <w:pStyle w:val="Akapitzlist"/>
        <w:numPr>
          <w:ilvl w:val="0"/>
          <w:numId w:val="2"/>
        </w:numPr>
        <w:ind w:left="714" w:hanging="357"/>
        <w:rPr>
          <w:b/>
          <w:bCs/>
        </w:rPr>
      </w:pPr>
      <w:proofErr w:type="spellStart"/>
      <w:r w:rsidRPr="00767D17">
        <w:rPr>
          <w:b/>
          <w:bCs/>
        </w:rPr>
        <w:t>Synthesis</w:t>
      </w:r>
      <w:proofErr w:type="spellEnd"/>
    </w:p>
    <w:p w14:paraId="68CE74BB" w14:textId="32C20EFE" w:rsidR="00565292" w:rsidRDefault="00FF5C67">
      <w:r>
        <w:t>Kliknięcie na zakładkę wywoła</w:t>
      </w:r>
      <w:r w:rsidR="0023533D">
        <w:t xml:space="preserve"> okno wyboru z</w:t>
      </w:r>
      <w:r>
        <w:t xml:space="preserve"> trz</w:t>
      </w:r>
      <w:r w:rsidR="0023533D">
        <w:t>ema</w:t>
      </w:r>
      <w:r>
        <w:t xml:space="preserve"> opcj</w:t>
      </w:r>
      <w:r w:rsidR="0023533D">
        <w:t>ami</w:t>
      </w:r>
      <w:r>
        <w:t xml:space="preserve">: </w:t>
      </w:r>
      <w:proofErr w:type="spellStart"/>
      <w:r>
        <w:t>Qualitative</w:t>
      </w:r>
      <w:proofErr w:type="spellEnd"/>
      <w:r>
        <w:t xml:space="preserve">, </w:t>
      </w:r>
      <w:proofErr w:type="spellStart"/>
      <w:r w:rsidRPr="00FF5C67">
        <w:t>Comparative</w:t>
      </w:r>
      <w:proofErr w:type="spellEnd"/>
      <w:r w:rsidRPr="00FF5C67">
        <w:t xml:space="preserve"> Meta-Analysis</w:t>
      </w:r>
      <w:r>
        <w:t xml:space="preserve">, </w:t>
      </w:r>
      <w:proofErr w:type="spellStart"/>
      <w:r w:rsidRPr="00FF5C67">
        <w:t>Proportional</w:t>
      </w:r>
      <w:proofErr w:type="spellEnd"/>
      <w:r w:rsidRPr="00FF5C67">
        <w:t xml:space="preserve"> Meta-Analysis</w:t>
      </w:r>
      <w:r>
        <w:t xml:space="preserve">. Po wyborze właściwej opcji i kliknięciu </w:t>
      </w:r>
      <w:proofErr w:type="spellStart"/>
      <w:r>
        <w:t>Create</w:t>
      </w:r>
      <w:proofErr w:type="spellEnd"/>
      <w:r>
        <w:t xml:space="preserve"> wyświetli się formularz, który należy uzupełnić. W</w:t>
      </w:r>
      <w:r w:rsidR="0027244E">
        <w:t xml:space="preserve"> przypadku metaanaliz</w:t>
      </w:r>
      <w:r w:rsidR="003340F6">
        <w:t>,</w:t>
      </w:r>
      <w:r w:rsidR="0027244E">
        <w:t xml:space="preserve"> w</w:t>
      </w:r>
      <w:r>
        <w:t xml:space="preserve">ypełnienie pola </w:t>
      </w:r>
      <w:proofErr w:type="spellStart"/>
      <w:r>
        <w:t>Outcomes</w:t>
      </w:r>
      <w:proofErr w:type="spellEnd"/>
      <w:r>
        <w:t>, uaktywni opcję Plot, w której pojawią się parametry niezbędne do utworzenia metaanalizy.</w:t>
      </w:r>
      <w:r w:rsidR="00767D17">
        <w:br/>
      </w:r>
      <w:r>
        <w:t xml:space="preserve"> Po wprowadzeniu danych </w:t>
      </w:r>
      <w:r w:rsidR="00665F0C">
        <w:t xml:space="preserve">i kliknięciu opcji </w:t>
      </w:r>
      <w:proofErr w:type="spellStart"/>
      <w:r w:rsidR="00665F0C">
        <w:t>Generate</w:t>
      </w:r>
      <w:proofErr w:type="spellEnd"/>
      <w:r w:rsidR="00665F0C">
        <w:t xml:space="preserve"> narzędzie wyświetli ostateczną meta-analizę.</w:t>
      </w:r>
      <w:r w:rsidR="005E29A8">
        <w:t xml:space="preserve"> Przycisk </w:t>
      </w:r>
      <w:r w:rsidR="005E29A8" w:rsidRPr="005E29A8">
        <w:t>Export służy do wygenerowani</w:t>
      </w:r>
      <w:r w:rsidR="005E29A8">
        <w:t>a wyników meta-analizy do pliku graficznego (</w:t>
      </w:r>
      <w:r w:rsidR="00767D17">
        <w:br/>
      </w:r>
      <w:r w:rsidR="005E29A8">
        <w:t>np. .jpg, .</w:t>
      </w:r>
      <w:proofErr w:type="spellStart"/>
      <w:r w:rsidR="005E29A8">
        <w:t>png</w:t>
      </w:r>
      <w:proofErr w:type="spellEnd"/>
      <w:r w:rsidR="005E29A8">
        <w:t xml:space="preserve">). </w:t>
      </w:r>
    </w:p>
    <w:p w14:paraId="4C994F40" w14:textId="77777777" w:rsidR="0023533D" w:rsidRPr="00767D17" w:rsidRDefault="0023533D" w:rsidP="0023533D">
      <w:pPr>
        <w:pStyle w:val="Akapitzlist"/>
        <w:numPr>
          <w:ilvl w:val="0"/>
          <w:numId w:val="2"/>
        </w:numPr>
        <w:ind w:left="714" w:hanging="357"/>
        <w:rPr>
          <w:b/>
          <w:bCs/>
        </w:rPr>
      </w:pPr>
      <w:proofErr w:type="spellStart"/>
      <w:r w:rsidRPr="00767D17">
        <w:rPr>
          <w:b/>
          <w:bCs/>
        </w:rPr>
        <w:t>Review</w:t>
      </w:r>
      <w:proofErr w:type="spellEnd"/>
    </w:p>
    <w:p w14:paraId="33DA7FDF" w14:textId="59C5F5D9" w:rsidR="00384F54" w:rsidRDefault="006A12D7">
      <w:r>
        <w:t xml:space="preserve">Ta część pomaga w przygotowaniu raportu z badań. Po wybraniu tej opcji, podobnie jak w przypadku części dotyczącej protokołu, pokaże się wstępnie uzupełniony, edytowany </w:t>
      </w:r>
      <w:r w:rsidR="007605A4">
        <w:t>schemat</w:t>
      </w:r>
      <w:r>
        <w:t xml:space="preserve">. </w:t>
      </w:r>
      <w:r w:rsidR="00767D17">
        <w:br/>
      </w:r>
      <w:r>
        <w:t>Z prawej strony ekranu dostępna jest opcja automatycznego cytowania wprowadzonej do narzędzia literatury.</w:t>
      </w:r>
      <w:r w:rsidR="007605A4">
        <w:t xml:space="preserve"> </w:t>
      </w:r>
      <w:r w:rsidR="00511E09">
        <w:t xml:space="preserve">Gotowy raport można wyeksportować do pliku Word za pomocą opcji Export DOCX. Wygenerowany plik będzie zawierał rezultaty prac na każdym etapie przygotowywania przeglądu poza syntezą wyników. </w:t>
      </w:r>
    </w:p>
    <w:sectPr w:rsidR="0038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AAA29" w14:textId="77777777" w:rsidR="0013358C" w:rsidRDefault="0013358C" w:rsidP="008975AB">
      <w:pPr>
        <w:spacing w:after="0" w:line="240" w:lineRule="auto"/>
      </w:pPr>
      <w:r>
        <w:separator/>
      </w:r>
    </w:p>
  </w:endnote>
  <w:endnote w:type="continuationSeparator" w:id="0">
    <w:p w14:paraId="287C60DF" w14:textId="77777777" w:rsidR="0013358C" w:rsidRDefault="0013358C" w:rsidP="0089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8F1D6" w14:textId="77777777" w:rsidR="0013358C" w:rsidRDefault="0013358C" w:rsidP="008975AB">
      <w:pPr>
        <w:spacing w:after="0" w:line="240" w:lineRule="auto"/>
      </w:pPr>
      <w:r>
        <w:separator/>
      </w:r>
    </w:p>
  </w:footnote>
  <w:footnote w:type="continuationSeparator" w:id="0">
    <w:p w14:paraId="425CF39A" w14:textId="77777777" w:rsidR="0013358C" w:rsidRDefault="0013358C" w:rsidP="0089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1A8"/>
    <w:multiLevelType w:val="hybridMultilevel"/>
    <w:tmpl w:val="C4E0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97CBC"/>
    <w:multiLevelType w:val="hybridMultilevel"/>
    <w:tmpl w:val="79AE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E19"/>
    <w:multiLevelType w:val="hybridMultilevel"/>
    <w:tmpl w:val="C4E042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2DF8"/>
    <w:multiLevelType w:val="hybridMultilevel"/>
    <w:tmpl w:val="79AE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6116A"/>
    <w:multiLevelType w:val="hybridMultilevel"/>
    <w:tmpl w:val="79AE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C710E"/>
    <w:multiLevelType w:val="hybridMultilevel"/>
    <w:tmpl w:val="79AE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40E0C"/>
    <w:multiLevelType w:val="hybridMultilevel"/>
    <w:tmpl w:val="79AE8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04"/>
    <w:multiLevelType w:val="hybridMultilevel"/>
    <w:tmpl w:val="D388B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1732B"/>
    <w:multiLevelType w:val="hybridMultilevel"/>
    <w:tmpl w:val="79AE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61077">
    <w:abstractNumId w:val="7"/>
  </w:num>
  <w:num w:numId="2" w16cid:durableId="1019241743">
    <w:abstractNumId w:val="8"/>
  </w:num>
  <w:num w:numId="3" w16cid:durableId="503084378">
    <w:abstractNumId w:val="6"/>
  </w:num>
  <w:num w:numId="4" w16cid:durableId="1258908273">
    <w:abstractNumId w:val="4"/>
  </w:num>
  <w:num w:numId="5" w16cid:durableId="62026911">
    <w:abstractNumId w:val="5"/>
  </w:num>
  <w:num w:numId="6" w16cid:durableId="270434093">
    <w:abstractNumId w:val="1"/>
  </w:num>
  <w:num w:numId="7" w16cid:durableId="1330790581">
    <w:abstractNumId w:val="3"/>
  </w:num>
  <w:num w:numId="8" w16cid:durableId="757749180">
    <w:abstractNumId w:val="0"/>
  </w:num>
  <w:num w:numId="9" w16cid:durableId="1403486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F6"/>
    <w:rsid w:val="00004637"/>
    <w:rsid w:val="00010615"/>
    <w:rsid w:val="00022436"/>
    <w:rsid w:val="00084433"/>
    <w:rsid w:val="0009389A"/>
    <w:rsid w:val="000A2333"/>
    <w:rsid w:val="000B5D9C"/>
    <w:rsid w:val="000C2492"/>
    <w:rsid w:val="000F1913"/>
    <w:rsid w:val="0013358C"/>
    <w:rsid w:val="00157141"/>
    <w:rsid w:val="00183DD2"/>
    <w:rsid w:val="001C2130"/>
    <w:rsid w:val="001D662E"/>
    <w:rsid w:val="0023533D"/>
    <w:rsid w:val="002518F1"/>
    <w:rsid w:val="0027244E"/>
    <w:rsid w:val="002D439D"/>
    <w:rsid w:val="003340F6"/>
    <w:rsid w:val="00384F54"/>
    <w:rsid w:val="00385536"/>
    <w:rsid w:val="00393F35"/>
    <w:rsid w:val="003E102B"/>
    <w:rsid w:val="004240EC"/>
    <w:rsid w:val="00511E09"/>
    <w:rsid w:val="0052080D"/>
    <w:rsid w:val="00565292"/>
    <w:rsid w:val="00595014"/>
    <w:rsid w:val="005B198C"/>
    <w:rsid w:val="005E29A8"/>
    <w:rsid w:val="005E7D7D"/>
    <w:rsid w:val="00652AB4"/>
    <w:rsid w:val="006651C2"/>
    <w:rsid w:val="00665F0C"/>
    <w:rsid w:val="006A12D7"/>
    <w:rsid w:val="007605A4"/>
    <w:rsid w:val="00767D17"/>
    <w:rsid w:val="00782ADE"/>
    <w:rsid w:val="0079030F"/>
    <w:rsid w:val="007904D9"/>
    <w:rsid w:val="007A5E35"/>
    <w:rsid w:val="007C0722"/>
    <w:rsid w:val="007E379C"/>
    <w:rsid w:val="008048C5"/>
    <w:rsid w:val="008975AB"/>
    <w:rsid w:val="008D76CD"/>
    <w:rsid w:val="00901610"/>
    <w:rsid w:val="00904724"/>
    <w:rsid w:val="00A81760"/>
    <w:rsid w:val="00AF3785"/>
    <w:rsid w:val="00B171D2"/>
    <w:rsid w:val="00B557FA"/>
    <w:rsid w:val="00B62FF6"/>
    <w:rsid w:val="00B91A07"/>
    <w:rsid w:val="00BA2EF6"/>
    <w:rsid w:val="00C2017C"/>
    <w:rsid w:val="00C32E9A"/>
    <w:rsid w:val="00C97B11"/>
    <w:rsid w:val="00D250C7"/>
    <w:rsid w:val="00DB1546"/>
    <w:rsid w:val="00DD1F76"/>
    <w:rsid w:val="00DE3AF6"/>
    <w:rsid w:val="00E80A1F"/>
    <w:rsid w:val="00E9297B"/>
    <w:rsid w:val="00E93348"/>
    <w:rsid w:val="00EF3814"/>
    <w:rsid w:val="00F13DA4"/>
    <w:rsid w:val="00FB671E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3348"/>
  <w15:chartTrackingRefBased/>
  <w15:docId w15:val="{F0BDAD56-964E-48C5-A7CD-EDD6942B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2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E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E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E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E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E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E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E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2E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E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E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EF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75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75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75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381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proxy.cm-uj.krakow.pl/han/uniwersytetjagiellons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BCF18-08F7-4448-9429-F6E582ADA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Patela</dc:creator>
  <cp:keywords/>
  <dc:description/>
  <cp:lastModifiedBy>Korfel Ireneusz</cp:lastModifiedBy>
  <cp:revision>2</cp:revision>
  <cp:lastPrinted>2025-04-17T09:41:00Z</cp:lastPrinted>
  <dcterms:created xsi:type="dcterms:W3CDTF">2025-04-17T10:23:00Z</dcterms:created>
  <dcterms:modified xsi:type="dcterms:W3CDTF">2025-04-17T10:23:00Z</dcterms:modified>
</cp:coreProperties>
</file>